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E4" w:rsidRPr="0098405C" w:rsidRDefault="000D3D05" w:rsidP="00D6449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1. </w:t>
      </w:r>
      <w:r w:rsidR="00A01AE4" w:rsidRPr="00984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Рішення </w:t>
      </w:r>
      <w:proofErr w:type="spellStart"/>
      <w:r w:rsidR="00630C1E" w:rsidRPr="009840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Касаційного</w:t>
      </w:r>
      <w:proofErr w:type="spellEnd"/>
      <w:r w:rsidR="00630C1E" w:rsidRPr="009840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630C1E" w:rsidRPr="009840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господарського</w:t>
      </w:r>
      <w:proofErr w:type="spellEnd"/>
      <w:r w:rsidR="00630C1E" w:rsidRPr="0098405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суду: </w:t>
      </w:r>
      <w:r w:rsidR="00A01AE4" w:rsidRPr="00984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від </w:t>
      </w:r>
      <w:r w:rsidR="00630C1E" w:rsidRPr="009840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06 </w:t>
      </w:r>
      <w:proofErr w:type="spellStart"/>
      <w:r w:rsidR="00630C1E" w:rsidRPr="009840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серпня</w:t>
      </w:r>
      <w:proofErr w:type="spellEnd"/>
      <w:r w:rsidR="00630C1E" w:rsidRPr="009840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2025 року</w:t>
      </w:r>
      <w:r w:rsidR="00630C1E" w:rsidRPr="009840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D273E0" w:rsidRPr="00984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 справі</w:t>
      </w:r>
      <w:r w:rsidR="00A01AE4" w:rsidRPr="00984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№ </w:t>
      </w:r>
      <w:r w:rsidR="00630C1E" w:rsidRPr="009840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910/11419/22</w:t>
      </w:r>
      <w:r w:rsidR="00A01AE4" w:rsidRPr="00984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 URL: </w:t>
      </w:r>
      <w:r w:rsidR="00630C1E" w:rsidRPr="0098405C">
        <w:rPr>
          <w:rFonts w:ascii="Times New Roman" w:hAnsi="Times New Roman" w:cs="Times New Roman"/>
          <w:b/>
          <w:sz w:val="24"/>
          <w:szCs w:val="24"/>
        </w:rPr>
        <w:t>https</w:t>
      </w:r>
      <w:r w:rsidR="00630C1E" w:rsidRPr="0098405C">
        <w:rPr>
          <w:rFonts w:ascii="Times New Roman" w:hAnsi="Times New Roman" w:cs="Times New Roman"/>
          <w:b/>
          <w:sz w:val="24"/>
          <w:szCs w:val="24"/>
          <w:lang w:val="uk-UA"/>
        </w:rPr>
        <w:t>://</w:t>
      </w:r>
      <w:proofErr w:type="spellStart"/>
      <w:r w:rsidR="00630C1E" w:rsidRPr="0098405C">
        <w:rPr>
          <w:rFonts w:ascii="Times New Roman" w:hAnsi="Times New Roman" w:cs="Times New Roman"/>
          <w:b/>
          <w:sz w:val="24"/>
          <w:szCs w:val="24"/>
        </w:rPr>
        <w:t>reyestr</w:t>
      </w:r>
      <w:proofErr w:type="spellEnd"/>
      <w:r w:rsidR="00630C1E" w:rsidRPr="0098405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30C1E" w:rsidRPr="0098405C">
        <w:rPr>
          <w:rFonts w:ascii="Times New Roman" w:hAnsi="Times New Roman" w:cs="Times New Roman"/>
          <w:b/>
          <w:sz w:val="24"/>
          <w:szCs w:val="24"/>
        </w:rPr>
        <w:t>court</w:t>
      </w:r>
      <w:r w:rsidR="00630C1E" w:rsidRPr="0098405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="00630C1E" w:rsidRPr="0098405C">
        <w:rPr>
          <w:rFonts w:ascii="Times New Roman" w:hAnsi="Times New Roman" w:cs="Times New Roman"/>
          <w:b/>
          <w:sz w:val="24"/>
          <w:szCs w:val="24"/>
        </w:rPr>
        <w:t>gov</w:t>
      </w:r>
      <w:proofErr w:type="spellEnd"/>
      <w:r w:rsidR="00630C1E" w:rsidRPr="0098405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 w:rsidR="00630C1E" w:rsidRPr="0098405C">
        <w:rPr>
          <w:rFonts w:ascii="Times New Roman" w:hAnsi="Times New Roman" w:cs="Times New Roman"/>
          <w:b/>
          <w:sz w:val="24"/>
          <w:szCs w:val="24"/>
        </w:rPr>
        <w:t>ua</w:t>
      </w:r>
      <w:proofErr w:type="spellEnd"/>
      <w:r w:rsidR="00630C1E" w:rsidRPr="0098405C">
        <w:rPr>
          <w:rFonts w:ascii="Times New Roman" w:hAnsi="Times New Roman" w:cs="Times New Roman"/>
          <w:b/>
          <w:sz w:val="24"/>
          <w:szCs w:val="24"/>
          <w:lang w:val="uk-UA"/>
        </w:rPr>
        <w:t>/</w:t>
      </w:r>
      <w:r w:rsidR="00630C1E" w:rsidRPr="0098405C">
        <w:rPr>
          <w:rFonts w:ascii="Times New Roman" w:hAnsi="Times New Roman" w:cs="Times New Roman"/>
          <w:b/>
          <w:sz w:val="24"/>
          <w:szCs w:val="24"/>
        </w:rPr>
        <w:t>Review</w:t>
      </w:r>
      <w:r w:rsidR="00630C1E" w:rsidRPr="0098405C">
        <w:rPr>
          <w:rFonts w:ascii="Times New Roman" w:hAnsi="Times New Roman" w:cs="Times New Roman"/>
          <w:b/>
          <w:sz w:val="24"/>
          <w:szCs w:val="24"/>
          <w:lang w:val="uk-UA"/>
        </w:rPr>
        <w:t>/129375628</w:t>
      </w:r>
    </w:p>
    <w:p w:rsidR="00A01AE4" w:rsidRPr="0098405C" w:rsidRDefault="00A01AE4" w:rsidP="00D6449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95EA6" w:rsidRDefault="00375E0E" w:rsidP="00D6449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95EA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Короткий огляд і результат</w:t>
      </w:r>
      <w:r w:rsidR="00D273E0" w:rsidRPr="00095EA6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</w:p>
    <w:p w:rsidR="00693479" w:rsidRPr="0098405C" w:rsidRDefault="00693479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Спір виник між ДП «МТП «Південний» (позивачем) та ТОВ «</w:t>
      </w:r>
      <w:proofErr w:type="spellStart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</w:t>
      </w:r>
      <w:proofErr w:type="spellEnd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Газ Ресурс» (відповідачем) щодо виконання договору постачання електроенергії, укладеного за результатами публічної закупівлі. Постачальник намагався змінити ціну, споживач відмовився, після чого постачання було припинено, і підприємство перейшло на постача</w:t>
      </w:r>
      <w:r w:rsidR="009F6FC8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льника «останньої надії».</w:t>
      </w:r>
      <w:r w:rsidR="009F6FC8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>Позов стосувався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стягнення збитків та штрафних санкцій на суму 19,7 млн грн</w:t>
      </w:r>
      <w:r w:rsidR="009F6FC8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Верховний Суд залишив у силі рішення про задоволення позову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стягнення збитків і штрафних санкцій з відповідача</w:t>
      </w:r>
      <w:r w:rsidR="005445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095EA6" w:rsidRPr="00095EA6" w:rsidRDefault="00A01AE4" w:rsidP="00D6449B">
      <w:pPr>
        <w:pStyle w:val="a5"/>
        <w:spacing w:before="0" w:beforeAutospacing="0" w:after="0" w:afterAutospacing="0"/>
        <w:ind w:firstLine="709"/>
        <w:jc w:val="both"/>
        <w:rPr>
          <w:rFonts w:eastAsia="Calibri"/>
          <w:b/>
        </w:rPr>
      </w:pPr>
      <w:r w:rsidRPr="00095EA6">
        <w:rPr>
          <w:rFonts w:eastAsia="Calibri"/>
          <w:b/>
        </w:rPr>
        <w:t>Суть позовних вимог:</w:t>
      </w:r>
    </w:p>
    <w:p w:rsidR="009F6FC8" w:rsidRPr="0098405C" w:rsidRDefault="009F6FC8" w:rsidP="00D6449B">
      <w:pPr>
        <w:pStyle w:val="a5"/>
        <w:spacing w:before="0" w:beforeAutospacing="0" w:after="0" w:afterAutospacing="0"/>
        <w:ind w:firstLine="709"/>
        <w:jc w:val="both"/>
      </w:pPr>
      <w:r w:rsidRPr="0098405C">
        <w:rPr>
          <w:rFonts w:eastAsia="Calibri"/>
        </w:rPr>
        <w:t xml:space="preserve"> </w:t>
      </w:r>
      <w:r w:rsidRPr="0098405C">
        <w:t xml:space="preserve">Стягнення </w:t>
      </w:r>
      <w:r w:rsidRPr="0098405C">
        <w:rPr>
          <w:rStyle w:val="a4"/>
          <w:b w:val="0"/>
        </w:rPr>
        <w:t>19 699 782,00 грн</w:t>
      </w:r>
      <w:r w:rsidRPr="0098405C">
        <w:t>, з яких:</w:t>
      </w:r>
    </w:p>
    <w:p w:rsidR="00095EA6" w:rsidRDefault="009F6FC8" w:rsidP="00D6449B">
      <w:pPr>
        <w:pStyle w:val="a5"/>
        <w:numPr>
          <w:ilvl w:val="0"/>
          <w:numId w:val="21"/>
        </w:numPr>
        <w:spacing w:before="0" w:beforeAutospacing="0" w:after="0" w:afterAutospacing="0"/>
        <w:jc w:val="both"/>
      </w:pPr>
      <w:r w:rsidRPr="0098405C">
        <w:t>17 346 553,80 грн – збитки (різниця між вартістю електроенергії за договором із відповідачем і по</w:t>
      </w:r>
      <w:r w:rsidR="00095EA6">
        <w:t>стачальником «останньої надії»).</w:t>
      </w:r>
    </w:p>
    <w:p w:rsidR="00375E0E" w:rsidRPr="00095EA6" w:rsidRDefault="009F6FC8" w:rsidP="00D6449B">
      <w:pPr>
        <w:pStyle w:val="a5"/>
        <w:numPr>
          <w:ilvl w:val="0"/>
          <w:numId w:val="21"/>
        </w:numPr>
        <w:spacing w:before="0" w:beforeAutospacing="0" w:after="0" w:afterAutospacing="0"/>
        <w:jc w:val="both"/>
      </w:pPr>
      <w:r w:rsidRPr="0098405C">
        <w:t>2 358 228,20 грн – штрафні санкції (пеня і штраф)</w:t>
      </w:r>
      <w:r w:rsidR="00544540">
        <w:t>.</w:t>
      </w:r>
    </w:p>
    <w:p w:rsidR="00375E0E" w:rsidRPr="0098405C" w:rsidRDefault="00375E0E" w:rsidP="00D6449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75E0E" w:rsidRPr="00095EA6" w:rsidRDefault="00A01AE4" w:rsidP="00D6449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95EA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Основні аргументи позивача:</w:t>
      </w:r>
    </w:p>
    <w:p w:rsidR="00B244EE" w:rsidRPr="0098405C" w:rsidRDefault="009F6FC8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Відповідач 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безпідставно відмовився від виконання зобов’язань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припинив постачання з 22.10.2021.</w:t>
      </w:r>
    </w:p>
    <w:p w:rsidR="00B244EE" w:rsidRPr="0098405C" w:rsidRDefault="009F6FC8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Через це підприємство було змушене купувати електроенергію у постачальника «останньої надії» за значно вищими тарифами.</w:t>
      </w:r>
    </w:p>
    <w:p w:rsidR="00B244EE" w:rsidRPr="0098405C" w:rsidRDefault="009F6FC8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Виникли 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матеріальні збитки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оскільки вартість електроенергії зросла майже у 3 рази.</w:t>
      </w:r>
    </w:p>
    <w:p w:rsidR="00B244EE" w:rsidRPr="0098405C" w:rsidRDefault="009F6FC8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Наявний 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причинно-наслідковий зв’язок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244EE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між діями відповідача та шкодою</w:t>
      </w:r>
      <w:r w:rsidR="005445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F6FC8" w:rsidRPr="0098405C" w:rsidRDefault="009F6FC8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Крім збитків, відповідач має відповідати за 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пеню та штраф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передбачені договором</w:t>
      </w:r>
      <w:r w:rsidR="005445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375E0E" w:rsidRPr="0098405C" w:rsidRDefault="00375E0E" w:rsidP="00D6449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244EE" w:rsidRPr="00095EA6" w:rsidRDefault="00A01AE4" w:rsidP="00D6449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95EA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Заперечення відповідача:</w:t>
      </w:r>
    </w:p>
    <w:p w:rsidR="00B244EE" w:rsidRPr="0098405C" w:rsidRDefault="00B244EE" w:rsidP="00D6449B">
      <w:pPr>
        <w:pStyle w:val="a6"/>
        <w:numPr>
          <w:ilvl w:val="0"/>
          <w:numId w:val="20"/>
        </w:num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="009F6FC8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озивач сам ініціював припинення договору, </w:t>
      </w:r>
      <w:r w:rsidR="009F6FC8"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відмовившись підписати додаткові угоди про підвищення ціни</w:t>
      </w:r>
      <w:r w:rsidR="009F6FC8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B244EE" w:rsidRPr="0098405C" w:rsidRDefault="009F6FC8" w:rsidP="00D6449B">
      <w:pPr>
        <w:pStyle w:val="a6"/>
        <w:numPr>
          <w:ilvl w:val="0"/>
          <w:numId w:val="20"/>
        </w:num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Позивач не довів усіх елементів складу правопорушення: протиправності, вини, збитків та причинного зв’язку</w:t>
      </w:r>
      <w:r w:rsidR="00B244EE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B244EE" w:rsidRPr="0098405C" w:rsidRDefault="009F6FC8" w:rsidP="00D6449B">
      <w:pPr>
        <w:pStyle w:val="a6"/>
        <w:numPr>
          <w:ilvl w:val="0"/>
          <w:numId w:val="20"/>
        </w:num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Розрахунок збитків є некоректним, оскільки Порт отримав 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податковий кредит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сплачене ПДВ постачальнику «останньої надії».</w:t>
      </w:r>
    </w:p>
    <w:p w:rsidR="00095EA6" w:rsidRPr="00095EA6" w:rsidRDefault="009F6FC8" w:rsidP="00D6449B">
      <w:pPr>
        <w:pStyle w:val="a6"/>
        <w:numPr>
          <w:ilvl w:val="0"/>
          <w:numId w:val="20"/>
        </w:num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період дії воєнного стану штрафні санкції за договорами постачання електроенергії 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не підлягають стягненню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(посилання на постанову НКРЕКП від 25.02.2022 № 332)</w:t>
      </w:r>
      <w:r w:rsidR="0054454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B02ECF" w:rsidRPr="00095EA6" w:rsidRDefault="00A01AE4" w:rsidP="00D6449B">
      <w:pPr>
        <w:pStyle w:val="a6"/>
        <w:spacing w:after="0" w:line="23" w:lineRule="atLeast"/>
        <w:ind w:left="112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95EA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Рішення суду та аргументація:</w:t>
      </w:r>
    </w:p>
    <w:p w:rsidR="00B02ECF" w:rsidRPr="00576BC5" w:rsidRDefault="009F6FC8" w:rsidP="00D6449B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6BC5">
        <w:rPr>
          <w:rStyle w:val="a4"/>
          <w:rFonts w:ascii="Times New Roman" w:hAnsi="Times New Roman" w:cs="Times New Roman"/>
          <w:b w:val="0"/>
          <w:sz w:val="24"/>
          <w:szCs w:val="24"/>
          <w:lang w:val="ru-RU"/>
        </w:rPr>
        <w:t xml:space="preserve">Суд </w:t>
      </w:r>
      <w:proofErr w:type="spellStart"/>
      <w:r w:rsidRPr="00576BC5">
        <w:rPr>
          <w:rStyle w:val="a4"/>
          <w:rFonts w:ascii="Times New Roman" w:hAnsi="Times New Roman" w:cs="Times New Roman"/>
          <w:b w:val="0"/>
          <w:sz w:val="24"/>
          <w:szCs w:val="24"/>
          <w:lang w:val="ru-RU"/>
        </w:rPr>
        <w:t>першої</w:t>
      </w:r>
      <w:proofErr w:type="spellEnd"/>
      <w:r w:rsidRPr="00576BC5">
        <w:rPr>
          <w:rStyle w:val="a4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576BC5">
        <w:rPr>
          <w:rStyle w:val="a4"/>
          <w:rFonts w:ascii="Times New Roman" w:hAnsi="Times New Roman" w:cs="Times New Roman"/>
          <w:b w:val="0"/>
          <w:sz w:val="24"/>
          <w:szCs w:val="24"/>
          <w:lang w:val="ru-RU"/>
        </w:rPr>
        <w:t>інстанції</w:t>
      </w:r>
      <w:proofErr w:type="spellEnd"/>
      <w:r w:rsidRPr="00576BC5">
        <w:rPr>
          <w:rFonts w:ascii="Times New Roman" w:hAnsi="Times New Roman" w:cs="Times New Roman"/>
          <w:sz w:val="24"/>
          <w:szCs w:val="24"/>
          <w:lang w:val="ru-RU"/>
        </w:rPr>
        <w:t xml:space="preserve"> (10.10.2023): </w:t>
      </w:r>
      <w:proofErr w:type="spellStart"/>
      <w:r w:rsidRPr="00576BC5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576B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6BC5">
        <w:rPr>
          <w:rFonts w:ascii="Times New Roman" w:hAnsi="Times New Roman" w:cs="Times New Roman"/>
          <w:sz w:val="24"/>
          <w:szCs w:val="24"/>
          <w:lang w:val="ru-RU"/>
        </w:rPr>
        <w:t>задоволено</w:t>
      </w:r>
      <w:proofErr w:type="spellEnd"/>
      <w:r w:rsidRPr="00576B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6BC5">
        <w:rPr>
          <w:rFonts w:ascii="Times New Roman" w:hAnsi="Times New Roman" w:cs="Times New Roman"/>
          <w:sz w:val="24"/>
          <w:szCs w:val="24"/>
          <w:lang w:val="ru-RU"/>
        </w:rPr>
        <w:t>повністю</w:t>
      </w:r>
      <w:proofErr w:type="spellEnd"/>
      <w:r w:rsidRPr="00576BC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02ECF" w:rsidRPr="0098405C" w:rsidRDefault="009F6FC8" w:rsidP="00D6449B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76BC5">
        <w:rPr>
          <w:rStyle w:val="a4"/>
          <w:rFonts w:ascii="Times New Roman" w:hAnsi="Times New Roman" w:cs="Times New Roman"/>
          <w:b w:val="0"/>
          <w:sz w:val="24"/>
          <w:szCs w:val="24"/>
          <w:lang w:val="ru-RU"/>
        </w:rPr>
        <w:t>Апеляційний</w:t>
      </w:r>
      <w:proofErr w:type="spellEnd"/>
      <w:r w:rsidRPr="00576BC5">
        <w:rPr>
          <w:rStyle w:val="a4"/>
          <w:rFonts w:ascii="Times New Roman" w:hAnsi="Times New Roman" w:cs="Times New Roman"/>
          <w:b w:val="0"/>
          <w:sz w:val="24"/>
          <w:szCs w:val="24"/>
          <w:lang w:val="ru-RU"/>
        </w:rPr>
        <w:t xml:space="preserve"> суд</w:t>
      </w:r>
      <w:r w:rsidRPr="00576B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6BC5">
        <w:rPr>
          <w:rFonts w:ascii="Times New Roman" w:hAnsi="Times New Roman" w:cs="Times New Roman"/>
          <w:sz w:val="24"/>
          <w:szCs w:val="24"/>
          <w:lang w:val="ru-RU"/>
        </w:rPr>
        <w:t>двічі</w:t>
      </w:r>
      <w:proofErr w:type="spellEnd"/>
      <w:r w:rsidRPr="00576B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6BC5">
        <w:rPr>
          <w:rFonts w:ascii="Times New Roman" w:hAnsi="Times New Roman" w:cs="Times New Roman"/>
          <w:sz w:val="24"/>
          <w:szCs w:val="24"/>
          <w:lang w:val="ru-RU"/>
        </w:rPr>
        <w:t>відмовляв</w:t>
      </w:r>
      <w:proofErr w:type="spellEnd"/>
      <w:r w:rsidRPr="00576BC5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76BC5">
        <w:rPr>
          <w:rFonts w:ascii="Times New Roman" w:hAnsi="Times New Roman" w:cs="Times New Roman"/>
          <w:sz w:val="24"/>
          <w:szCs w:val="24"/>
          <w:lang w:val="ru-RU"/>
        </w:rPr>
        <w:t>позові</w:t>
      </w:r>
      <w:proofErr w:type="spellEnd"/>
      <w:r w:rsidRPr="00576B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6BC5">
        <w:rPr>
          <w:rFonts w:ascii="Times New Roman" w:hAnsi="Times New Roman" w:cs="Times New Roman"/>
          <w:sz w:val="24"/>
          <w:szCs w:val="24"/>
          <w:lang w:val="ru-RU"/>
        </w:rPr>
        <w:t>однак</w:t>
      </w:r>
      <w:proofErr w:type="spellEnd"/>
      <w:r w:rsidRPr="00576B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6BC5">
        <w:rPr>
          <w:rFonts w:ascii="Times New Roman" w:hAnsi="Times New Roman" w:cs="Times New Roman"/>
          <w:sz w:val="24"/>
          <w:szCs w:val="24"/>
          <w:lang w:val="ru-RU"/>
        </w:rPr>
        <w:t>Верх</w:t>
      </w:r>
      <w:r w:rsidR="00B02ECF" w:rsidRPr="00576BC5">
        <w:rPr>
          <w:rFonts w:ascii="Times New Roman" w:hAnsi="Times New Roman" w:cs="Times New Roman"/>
          <w:sz w:val="24"/>
          <w:szCs w:val="24"/>
          <w:lang w:val="ru-RU"/>
        </w:rPr>
        <w:t>овний</w:t>
      </w:r>
      <w:proofErr w:type="spellEnd"/>
      <w:r w:rsidR="00B02ECF" w:rsidRPr="00576BC5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="00B02ECF" w:rsidRPr="00576BC5">
        <w:rPr>
          <w:rFonts w:ascii="Times New Roman" w:hAnsi="Times New Roman" w:cs="Times New Roman"/>
          <w:sz w:val="24"/>
          <w:szCs w:val="24"/>
          <w:lang w:val="ru-RU"/>
        </w:rPr>
        <w:t>скасовував</w:t>
      </w:r>
      <w:proofErr w:type="spellEnd"/>
      <w:r w:rsidR="00B02ECF" w:rsidRPr="00576B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02ECF" w:rsidRPr="00576BC5">
        <w:rPr>
          <w:rFonts w:ascii="Times New Roman" w:hAnsi="Times New Roman" w:cs="Times New Roman"/>
          <w:sz w:val="24"/>
          <w:szCs w:val="24"/>
          <w:lang w:val="ru-RU"/>
        </w:rPr>
        <w:t>ці</w:t>
      </w:r>
      <w:proofErr w:type="spellEnd"/>
      <w:r w:rsidR="00B02ECF" w:rsidRPr="00576B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02ECF" w:rsidRPr="00576BC5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="00B02ECF" w:rsidRPr="009840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6FC8" w:rsidRPr="0098405C" w:rsidRDefault="009F6FC8" w:rsidP="00D6449B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98405C">
        <w:rPr>
          <w:rStyle w:val="a4"/>
          <w:rFonts w:ascii="Times New Roman" w:hAnsi="Times New Roman" w:cs="Times New Roman"/>
          <w:b w:val="0"/>
          <w:sz w:val="24"/>
          <w:szCs w:val="24"/>
        </w:rPr>
        <w:t>Остаточна</w:t>
      </w:r>
      <w:proofErr w:type="spellEnd"/>
      <w:r w:rsidRPr="009840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8405C">
        <w:rPr>
          <w:rStyle w:val="a4"/>
          <w:rFonts w:ascii="Times New Roman" w:hAnsi="Times New Roman" w:cs="Times New Roman"/>
          <w:b w:val="0"/>
          <w:sz w:val="24"/>
          <w:szCs w:val="24"/>
        </w:rPr>
        <w:t>позиція</w:t>
      </w:r>
      <w:proofErr w:type="spellEnd"/>
      <w:r w:rsidRPr="009840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8405C">
        <w:rPr>
          <w:rStyle w:val="a4"/>
          <w:rFonts w:ascii="Times New Roman" w:hAnsi="Times New Roman" w:cs="Times New Roman"/>
          <w:b w:val="0"/>
          <w:sz w:val="24"/>
          <w:szCs w:val="24"/>
        </w:rPr>
        <w:t>Верховного</w:t>
      </w:r>
      <w:proofErr w:type="spellEnd"/>
      <w:r w:rsidRPr="009840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98405C">
        <w:rPr>
          <w:rStyle w:val="a4"/>
          <w:rFonts w:ascii="Times New Roman" w:hAnsi="Times New Roman" w:cs="Times New Roman"/>
          <w:b w:val="0"/>
          <w:sz w:val="24"/>
          <w:szCs w:val="24"/>
        </w:rPr>
        <w:t>Суду</w:t>
      </w:r>
      <w:proofErr w:type="spellEnd"/>
      <w:r w:rsidRPr="009840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(06.08.2025):</w:t>
      </w:r>
    </w:p>
    <w:p w:rsidR="00B02ECF" w:rsidRPr="0098405C" w:rsidRDefault="009F6FC8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 xml:space="preserve">Припинення договору відбулося саме </w:t>
      </w:r>
      <w:r w:rsidRPr="0098405C">
        <w:rPr>
          <w:rStyle w:val="a4"/>
          <w:b w:val="0"/>
        </w:rPr>
        <w:t>з ініціативи відповідача</w:t>
      </w:r>
      <w:r w:rsidRPr="0098405C">
        <w:t>, а не позивача.</w:t>
      </w:r>
    </w:p>
    <w:p w:rsidR="00B02ECF" w:rsidRPr="0098405C" w:rsidRDefault="009F6FC8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Позивач мав право відмовитися від зміни ціни, це не означало розірвання договору з його боку.</w:t>
      </w:r>
    </w:p>
    <w:p w:rsidR="00B02ECF" w:rsidRPr="0098405C" w:rsidRDefault="009F6FC8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Наявні всі елементи складу цивільного правопорушення: протиправна поведінка, збитки, причинний зв’язок, вина.</w:t>
      </w:r>
    </w:p>
    <w:p w:rsidR="00B02ECF" w:rsidRPr="0098405C" w:rsidRDefault="009F6FC8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Розрахунок збитків є правильним: різниця між ціною за договором і фактично сплаченою ціною постачальнику «останньої надії».</w:t>
      </w:r>
    </w:p>
    <w:p w:rsidR="009F6FC8" w:rsidRPr="0098405C" w:rsidRDefault="009F6FC8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lastRenderedPageBreak/>
        <w:t xml:space="preserve">Штрафні санкції можуть бути стягнені, оскільки порушення зобов’язань відбулося </w:t>
      </w:r>
      <w:r w:rsidRPr="0098405C">
        <w:rPr>
          <w:rStyle w:val="a4"/>
          <w:b w:val="0"/>
        </w:rPr>
        <w:t>до введення воєнного стану</w:t>
      </w:r>
    </w:p>
    <w:p w:rsidR="00375E0E" w:rsidRPr="0098405C" w:rsidRDefault="00881A54" w:rsidP="00D6449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95EA6">
        <w:rPr>
          <w:rFonts w:ascii="Times New Roman" w:hAnsi="Times New Roman" w:cs="Times New Roman"/>
          <w:b/>
          <w:sz w:val="24"/>
          <w:szCs w:val="24"/>
          <w:lang w:val="uk-UA"/>
        </w:rPr>
        <w:t>Науковий коментар.</w:t>
      </w:r>
      <w:r w:rsidRPr="00984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6FC8" w:rsidRPr="0098405C">
        <w:rPr>
          <w:rFonts w:ascii="Times New Roman" w:hAnsi="Times New Roman" w:cs="Times New Roman"/>
          <w:sz w:val="24"/>
          <w:szCs w:val="24"/>
          <w:lang w:val="uk-UA"/>
        </w:rPr>
        <w:t xml:space="preserve">Ця справа показує типову проблему у сфері публічних </w:t>
      </w:r>
      <w:proofErr w:type="spellStart"/>
      <w:r w:rsidR="009F6FC8" w:rsidRPr="0098405C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="009F6FC8" w:rsidRPr="0098405C">
        <w:rPr>
          <w:rFonts w:ascii="Times New Roman" w:hAnsi="Times New Roman" w:cs="Times New Roman"/>
          <w:sz w:val="24"/>
          <w:szCs w:val="24"/>
          <w:lang w:val="uk-UA"/>
        </w:rPr>
        <w:t xml:space="preserve"> енергоресурсів: постачальник, уклавши договір за фіксованою ціною, несе ризик зростання ринкової вартості. </w:t>
      </w:r>
      <w:r w:rsidRPr="009840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9F6FC8" w:rsidRPr="0098405C">
        <w:rPr>
          <w:rFonts w:ascii="Times New Roman" w:hAnsi="Times New Roman" w:cs="Times New Roman"/>
          <w:sz w:val="24"/>
          <w:szCs w:val="24"/>
          <w:lang w:val="uk-UA"/>
        </w:rPr>
        <w:t>права підкреслює важливість суворого дотримання умов договорів у сфері енергопостачання та неможливість постачальників односторонньо змінювати істотні умови, навіть за суттєвого зростання ринкових цін.</w:t>
      </w:r>
    </w:p>
    <w:p w:rsidR="00375E0E" w:rsidRPr="0098405C" w:rsidRDefault="00375E0E" w:rsidP="00D6449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81A54" w:rsidRPr="0098405C" w:rsidRDefault="00881A54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1A54" w:rsidRPr="0098405C" w:rsidRDefault="00881A54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1A54" w:rsidRPr="0098405C" w:rsidRDefault="00881A54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1A54" w:rsidRPr="0098405C" w:rsidRDefault="00881A54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2ECF" w:rsidRPr="0098405C" w:rsidRDefault="00B02ECF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2ECF" w:rsidRPr="0098405C" w:rsidRDefault="00B02ECF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2ECF" w:rsidRPr="0098405C" w:rsidRDefault="00B02ECF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2ECF" w:rsidRPr="0098405C" w:rsidRDefault="00B02ECF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2ECF" w:rsidRPr="0098405C" w:rsidRDefault="00B02ECF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2ECF" w:rsidRPr="0098405C" w:rsidRDefault="00B02ECF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2ECF" w:rsidRPr="0098405C" w:rsidRDefault="00B02ECF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2ECF" w:rsidRPr="0098405C" w:rsidRDefault="00B02ECF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2ECF" w:rsidRPr="0098405C" w:rsidRDefault="00B02ECF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16D6A" w:rsidRPr="0098405C" w:rsidRDefault="00216D6A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95EA6" w:rsidRDefault="00095EA6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76BC5" w:rsidRDefault="00183ECF" w:rsidP="00576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 xml:space="preserve">2. </w:t>
      </w:r>
      <w:r w:rsidR="004B4203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Постанова Об’єднаної палати Касаційного господарського суду від 21.06.2024 року </w:t>
      </w:r>
      <w:r w:rsidR="00B02ECF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у </w:t>
      </w:r>
      <w:r w:rsidR="0011676D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справу </w:t>
      </w:r>
      <w:r w:rsidR="00126F61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№ 910/4439/23</w:t>
      </w:r>
      <w:r w:rsidR="00DB7F21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. </w:t>
      </w:r>
      <w:r w:rsidR="00DB7F21" w:rsidRPr="00081D1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URL</w:t>
      </w:r>
      <w:r w:rsidR="00DB7F21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: </w:t>
      </w:r>
      <w:hyperlink r:id="rId6" w:history="1">
        <w:r w:rsidR="00576BC5" w:rsidRPr="00CF7DA5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 w:eastAsia="uk-UA"/>
          </w:rPr>
          <w:t>https://reyestr.court.gov.ua/Review/119896237</w:t>
        </w:r>
      </w:hyperlink>
    </w:p>
    <w:p w:rsidR="00576BC5" w:rsidRPr="00576BC5" w:rsidRDefault="00576BC5" w:rsidP="00576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126F61" w:rsidRPr="00081D14" w:rsidRDefault="00126F61" w:rsidP="00576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Короткий огляд і результат</w:t>
      </w:r>
      <w:r w:rsid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9855AE" w:rsidRDefault="00126F61" w:rsidP="0098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Спір виник між ТОВ «</w:t>
      </w:r>
      <w:proofErr w:type="spellStart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Екоенерджи</w:t>
      </w:r>
      <w:proofErr w:type="spellEnd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Дніпро» (виробник електроенергії з </w:t>
      </w:r>
      <w:r w:rsidR="0011676D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відновлюваних джерел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та ДП «Гарантований покупець» (державний суб’єкт ринку) щодо розрахунків за вироблену електроенергію. Позивач вимагав стягнення коштів, які </w:t>
      </w:r>
      <w:r w:rsidR="009855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відповідач не виплатив у строк.</w:t>
      </w:r>
    </w:p>
    <w:p w:rsidR="004B4203" w:rsidRPr="0098405C" w:rsidRDefault="00126F61" w:rsidP="0098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Результат: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Верховний Суд залишив у силі рішення попередніх інстанцій про стягнення на користь позивача заборгованості; касаційну скаргу ДП «Гарантований по</w:t>
      </w:r>
      <w:r w:rsidR="00DB7F21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купець» залишено без задоволення.</w:t>
      </w:r>
    </w:p>
    <w:p w:rsidR="00216D6A" w:rsidRPr="00081D14" w:rsidRDefault="00126F61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Суть позовних вимог</w:t>
      </w:r>
      <w:r w:rsidR="00216D6A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:</w:t>
      </w:r>
    </w:p>
    <w:p w:rsidR="00216D6A" w:rsidRPr="0098405C" w:rsidRDefault="00126F61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Стягнення заборгованості за вироблену та поставлену електроенергію з відновлюваних джерел.</w:t>
      </w:r>
      <w:r w:rsidR="00216D6A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126F61" w:rsidRPr="0098405C" w:rsidRDefault="00126F61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Підстава: відповідач не виконав грошові зобов’язання у встановлений договором і законом строк.</w:t>
      </w:r>
    </w:p>
    <w:p w:rsidR="004B4203" w:rsidRPr="0098405C" w:rsidRDefault="004B4203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26F61" w:rsidRPr="00081D14" w:rsidRDefault="00126F61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Основні аргументи позивача</w:t>
      </w:r>
      <w:r w:rsid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216D6A" w:rsidRPr="0098405C" w:rsidRDefault="00126F61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ДП «Гарантований покупець» порушив умови договору</w:t>
      </w:r>
      <w:r w:rsidR="00216D6A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купівлі-продажу електроенергії.</w:t>
      </w:r>
    </w:p>
    <w:p w:rsidR="00216D6A" w:rsidRPr="0098405C" w:rsidRDefault="00126F61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Законодавство України (в </w:t>
      </w:r>
      <w:proofErr w:type="spellStart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т.ч</w:t>
      </w:r>
      <w:proofErr w:type="spellEnd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спеціальні акти про «зелений тариф») покладає на «Гарантованого покупця» обов’язок своєчасн</w:t>
      </w:r>
      <w:r w:rsidR="00216D6A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 розраховуватися з виробниками</w:t>
      </w:r>
    </w:p>
    <w:p w:rsidR="00216D6A" w:rsidRPr="0098405C" w:rsidRDefault="00126F61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Прострочення платежів створює ризик фінансової нестабільності підприємств «зеленої» енергетики.</w:t>
      </w:r>
    </w:p>
    <w:p w:rsidR="00126F61" w:rsidRPr="0098405C" w:rsidRDefault="00126F61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Позивач надав належні докази виробництва, відпуску електроенергії та невиконання відповідачем розрахунків.</w:t>
      </w:r>
    </w:p>
    <w:p w:rsidR="004B4203" w:rsidRPr="0098405C" w:rsidRDefault="004B4203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B4203" w:rsidRPr="0098405C" w:rsidRDefault="004B4203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16D6A" w:rsidRPr="00081D14" w:rsidRDefault="00126F61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Заперечення відповідача</w:t>
      </w:r>
      <w:r w:rsidR="00216D6A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:</w:t>
      </w:r>
    </w:p>
    <w:p w:rsidR="00216D6A" w:rsidRPr="0098405C" w:rsidRDefault="00126F61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Посилання на фінансові труднощі та дефіцит коштів через особливості функціонування ринку.</w:t>
      </w:r>
    </w:p>
    <w:p w:rsidR="00216D6A" w:rsidRPr="0098405C" w:rsidRDefault="00126F61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Аргумент про те, що невиплата коштів не є порушенням, оскільки держава не забезпечила достатнє фінансування.</w:t>
      </w:r>
    </w:p>
    <w:p w:rsidR="00126F61" w:rsidRPr="0098405C" w:rsidRDefault="00126F61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Клопотання про відстрочку/звільнення від відповідальності у зв’язку з винятковими обставинами.</w:t>
      </w:r>
    </w:p>
    <w:p w:rsidR="004B4203" w:rsidRPr="0098405C" w:rsidRDefault="004B4203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16D6A" w:rsidRPr="00081D14" w:rsidRDefault="00126F61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Рішення суду та аргументація</w:t>
      </w:r>
      <w:r w:rsid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216D6A" w:rsidRPr="0098405C" w:rsidRDefault="00126F61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Господарський суд м. Києва (07.08.2023):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позов задоволено, стягнуто заборгованість.</w:t>
      </w:r>
    </w:p>
    <w:p w:rsidR="00216D6A" w:rsidRPr="0098405C" w:rsidRDefault="00126F61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Північний апеляційний господарський суд (01.11.2023):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залишив рішення без змін.</w:t>
      </w:r>
    </w:p>
    <w:p w:rsidR="00216D6A" w:rsidRPr="0098405C" w:rsidRDefault="00126F61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Верховний Суд (21.06.2024):</w:t>
      </w:r>
    </w:p>
    <w:p w:rsidR="00216D6A" w:rsidRPr="0098405C" w:rsidRDefault="00126F61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Встановив, що обов’язок ДП «Гарантований покупець» здійснювати розрахунки є імперативним і прямо передбачений законом.</w:t>
      </w:r>
    </w:p>
    <w:p w:rsidR="00DB7F21" w:rsidRPr="0098405C" w:rsidRDefault="00126F61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Фінансові труднощі або недофінансування не звільняють від виконання договірних зобов’язань.</w:t>
      </w:r>
    </w:p>
    <w:p w:rsidR="00DB7F21" w:rsidRPr="0098405C" w:rsidRDefault="00126F61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Доводи касаційної скарги не підтверджують наявності підстав для скасування рішень нижчих судів.</w:t>
      </w:r>
    </w:p>
    <w:p w:rsidR="00126F61" w:rsidRPr="0098405C" w:rsidRDefault="00126F61" w:rsidP="00D6449B">
      <w:pPr>
        <w:pStyle w:val="a6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Остаточно підтверджено правомірність вимог позивача та обов’язковість виплат</w:t>
      </w:r>
    </w:p>
    <w:p w:rsidR="00DB7F21" w:rsidRPr="00081D14" w:rsidRDefault="00081D14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Науковий коментар:</w:t>
      </w:r>
    </w:p>
    <w:p w:rsidR="00126F61" w:rsidRPr="0098405C" w:rsidRDefault="00126F61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Це рішення є показовим у сфері «зеленої» енергетики.</w:t>
      </w:r>
      <w:r w:rsidR="00DB7F21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Суд чітко підкреслив, що 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державні фінансові проблеми не можуть бути виправданням для невиконання зобов’язань перед виробниками електроенергії з ВДЕ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DB7F21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Важливість рішення полягає у зміцненні правової позиції інвесторів у відновлювану енергетику, які часто страждають від затримок виплат.</w:t>
      </w:r>
      <w:r w:rsidR="00DB7F21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Верховний Суд фактично підтвердив принцип «</w:t>
      </w:r>
      <w:proofErr w:type="spellStart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pacta</w:t>
      </w:r>
      <w:proofErr w:type="spellEnd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sunt</w:t>
      </w:r>
      <w:proofErr w:type="spellEnd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servanda</w:t>
      </w:r>
      <w:proofErr w:type="spellEnd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(договори повинні виконуватися), навіть у складних економічних умовах.</w:t>
      </w:r>
      <w:r w:rsidR="00DB7F21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 сприяє правовій визначеності на ринку і підвищує довіру інвесторів</w:t>
      </w:r>
      <w:r w:rsidR="00DB7F21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механізму «зеленого тарифу». Таким чином, ця 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справа демонструє, що судова практика захищає інтереси виробників відновлюваної енергії і не допускає перекладання державних ризиків на приватних інвесторів.</w:t>
      </w:r>
    </w:p>
    <w:p w:rsidR="00183ECF" w:rsidRPr="0098405C" w:rsidRDefault="00183ECF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3ECF" w:rsidRPr="0098405C" w:rsidRDefault="00183ECF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0725" w:rsidRPr="0098405C" w:rsidRDefault="00220725" w:rsidP="00D644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20725" w:rsidRPr="0098405C" w:rsidRDefault="00220725" w:rsidP="00D644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20725" w:rsidRPr="0098405C" w:rsidRDefault="00220725" w:rsidP="00D644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20725" w:rsidRPr="0098405C" w:rsidRDefault="00220725" w:rsidP="00D644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20725" w:rsidRPr="0098405C" w:rsidRDefault="00220725" w:rsidP="00D644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20725" w:rsidRPr="0098405C" w:rsidRDefault="00220725" w:rsidP="00D644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Default="00081D14" w:rsidP="00D644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20725" w:rsidRPr="00081D14" w:rsidRDefault="00081D14" w:rsidP="00D6449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 xml:space="preserve">3. </w:t>
      </w:r>
      <w:r w:rsidR="00DB7F21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Постанова Хмельницького </w:t>
      </w:r>
      <w:r w:rsidR="00EE4F59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апеляційного суду від 06.01.2025 у справі </w:t>
      </w:r>
      <w:r w:rsidR="00220725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№ 686/4642/24</w:t>
      </w:r>
      <w:r w:rsidR="00EE4F59" w:rsidRPr="00081D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EE4F59" w:rsidRPr="00081D1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URL</w:t>
      </w:r>
      <w:r w:rsidR="00EE4F59"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:</w:t>
      </w:r>
      <w:r w:rsidR="00EE4F59" w:rsidRPr="00081D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hyperlink r:id="rId7" w:history="1">
        <w:r w:rsidR="00B765C1" w:rsidRPr="00081D14">
          <w:rPr>
            <w:rStyle w:val="a3"/>
            <w:rFonts w:ascii="Times New Roman" w:hAnsi="Times New Roman" w:cs="Times New Roman"/>
            <w:b/>
            <w:sz w:val="24"/>
            <w:szCs w:val="24"/>
            <w:lang w:val="uk-UA"/>
          </w:rPr>
          <w:t>https://reyestr.court.gov.ua/Review/124244077</w:t>
        </w:r>
      </w:hyperlink>
    </w:p>
    <w:p w:rsidR="00220725" w:rsidRPr="00081D14" w:rsidRDefault="00EE4F59" w:rsidP="00D326A1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081D1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</w:t>
      </w:r>
      <w:r w:rsidR="00220725" w:rsidRP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ороткий огляд і результат</w:t>
      </w:r>
      <w:r w:rsidR="00081D14" w:rsidRP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9855AE" w:rsidRDefault="00220725" w:rsidP="0098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Спір виник між приватним домогосподарством (ОСОБА_1) та ТОВ «</w:t>
      </w:r>
      <w:proofErr w:type="spellStart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Хмельницькенергозбут</w:t>
      </w:r>
      <w:proofErr w:type="spellEnd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щодо розрахунків за електроенергію, вироблену за «зеленим» тарифом. </w:t>
      </w:r>
      <w:r w:rsidR="009855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Відповідач 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оплатив відпущену у червні та липні 2023 року електроенергію.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Результат: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апеляційний суд залишив у силі рішення суду першої інстанції про стягнення 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62 280,56 грн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боргу з ТОВ «</w:t>
      </w:r>
      <w:proofErr w:type="spellStart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Хмельницькенергозбут</w:t>
      </w:r>
      <w:proofErr w:type="spellEnd"/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</w:p>
    <w:p w:rsidR="00220725" w:rsidRPr="009855AE" w:rsidRDefault="00220725" w:rsidP="00985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Суть позовних вимог</w:t>
      </w:r>
      <w:r w:rsidR="00081D14" w:rsidRPr="00081D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9855AE" w:rsidRDefault="00220725" w:rsidP="0098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Стягнення 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62 280,56 грн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заборгованості за договором №1523 від 09.12.2020 про купівлю-продаж електроенергії за «зеленим» тарифом.</w:t>
      </w:r>
      <w:r w:rsidR="00081D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Підстава: відповідач прийняв електроенергію, але не здійснив її оплату в передбачений строк</w:t>
      </w:r>
    </w:p>
    <w:p w:rsidR="009855AE" w:rsidRDefault="009855AE" w:rsidP="0098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81D14" w:rsidRPr="009855AE" w:rsidRDefault="00220725" w:rsidP="009855AE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05B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Основні аргументи позивача</w:t>
      </w:r>
      <w:r w:rsidR="00081D14" w:rsidRPr="00B05B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: </w:t>
      </w:r>
    </w:p>
    <w:p w:rsidR="00081D14" w:rsidRPr="00081D14" w:rsidRDefault="00220725" w:rsidP="00576BC5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81D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червень 2023 р. вироблено та передано </w:t>
      </w:r>
      <w:r w:rsidRPr="00081D1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5774 </w:t>
      </w:r>
      <w:proofErr w:type="spellStart"/>
      <w:r w:rsidRPr="00081D1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кВт·год</w:t>
      </w:r>
      <w:proofErr w:type="spellEnd"/>
      <w:r w:rsidRPr="00081D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суму 29 518,50 грн.</w:t>
      </w:r>
    </w:p>
    <w:p w:rsidR="00081D14" w:rsidRPr="00081D14" w:rsidRDefault="00220725" w:rsidP="00576BC5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81D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липень 2023 р. вироблено та передано </w:t>
      </w:r>
      <w:r w:rsidRPr="00081D1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6325 </w:t>
      </w:r>
      <w:proofErr w:type="spellStart"/>
      <w:r w:rsidRPr="00081D1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кВт·год</w:t>
      </w:r>
      <w:proofErr w:type="spellEnd"/>
      <w:r w:rsidRPr="00081D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суму 32 762,06 грн.</w:t>
      </w:r>
    </w:p>
    <w:p w:rsidR="00081D14" w:rsidRPr="00081D14" w:rsidRDefault="00220725" w:rsidP="00576BC5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081D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Відповідач підписав акти купівлі-продажу та звіти, що підтверджує прийняття енергії.</w:t>
      </w:r>
    </w:p>
    <w:p w:rsidR="00576BC5" w:rsidRPr="00576BC5" w:rsidRDefault="00081D14" w:rsidP="00576BC5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20725" w:rsidRPr="00081D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Договір є чинним і обов’язковим, підстав для невиконання зобов’язань немає.</w:t>
      </w:r>
    </w:p>
    <w:p w:rsidR="00576BC5" w:rsidRPr="00576BC5" w:rsidRDefault="00576BC5" w:rsidP="00576B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220725" w:rsidRPr="00B05B15" w:rsidRDefault="00220725" w:rsidP="00D326A1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B05B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Заперечення відповідача</w:t>
      </w:r>
      <w:r w:rsidR="00B05B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B05B15" w:rsidRDefault="00220725" w:rsidP="00D6449B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Посилання на </w:t>
      </w:r>
      <w:r w:rsidRPr="00B05B1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п. 11.3.23 Правил роздрібного ринку електроенергії</w:t>
      </w:r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 якщо відсутнє місячне споживання електроенергії домогосподарством, то плата не нараховується.</w:t>
      </w:r>
    </w:p>
    <w:p w:rsidR="00B05B15" w:rsidRDefault="00220725" w:rsidP="00D6449B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актах за червень і липень 2023 р. зазначено нульове споживання, отже, підстав для виплат немає.</w:t>
      </w:r>
    </w:p>
    <w:p w:rsidR="00220725" w:rsidRPr="00B05B15" w:rsidRDefault="00220725" w:rsidP="00D6449B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Суд першої інстанції нібито неправильно застосував норми матеріального права.</w:t>
      </w:r>
    </w:p>
    <w:p w:rsidR="00220725" w:rsidRPr="0098405C" w:rsidRDefault="00220725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5B15" w:rsidRDefault="00220725" w:rsidP="00D326A1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B05B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Рішення суду та аргументація</w:t>
      </w:r>
      <w:r w:rsidR="00B05B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EE4F59" w:rsidRPr="00D40C91" w:rsidRDefault="00220725" w:rsidP="00D4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0C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Суд першої інстанції (26.09.2024):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позов задоволено, борг підлягає стягненню.</w:t>
      </w:r>
    </w:p>
    <w:p w:rsidR="00B05B15" w:rsidRPr="00D40C91" w:rsidRDefault="00220725" w:rsidP="00D4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0C9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Апеляційний суд (06.01.2025):</w:t>
      </w:r>
    </w:p>
    <w:p w:rsidR="00B05B15" w:rsidRPr="00B05B15" w:rsidRDefault="00220725" w:rsidP="00D40C9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Встановив, що відповідач підписав акти купівлі-продажу і звіти про </w:t>
      </w:r>
      <w:proofErr w:type="spellStart"/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перетоки</w:t>
      </w:r>
      <w:proofErr w:type="spellEnd"/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електроенергії, отже, визнав факт прийняття відпущених обсягів.</w:t>
      </w:r>
    </w:p>
    <w:p w:rsidR="00B05B15" w:rsidRPr="00B05B15" w:rsidRDefault="00220725" w:rsidP="00D40C9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Посилання на нульове споживання є безпідставним, оскільки договір передбачав оплату </w:t>
      </w:r>
      <w:r w:rsidRPr="00B05B1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надлишку виробленої енергії понад споживання</w:t>
      </w:r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855AE" w:rsidRPr="009855AE" w:rsidRDefault="00220725" w:rsidP="00D326A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Договір чинний, не розірваний і не визнаний недійсним, тому підлягає виконанню.</w:t>
      </w:r>
    </w:p>
    <w:p w:rsidR="00D326A1" w:rsidRPr="00D326A1" w:rsidRDefault="00220725" w:rsidP="00D326A1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9855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ст. 526 та ст. 629 ЦК України, зобов’язання мають виконуватися належним чином і є обов’язковими для сторін.</w:t>
      </w:r>
    </w:p>
    <w:p w:rsidR="00D326A1" w:rsidRPr="00D326A1" w:rsidRDefault="00D326A1" w:rsidP="00D326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220725" w:rsidRPr="00D326A1" w:rsidRDefault="00220725" w:rsidP="00D326A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Висновок: заборгованість у </w:t>
      </w:r>
      <w:r w:rsidRPr="00D326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62 280,56 грн</w:t>
      </w:r>
      <w:r w:rsidRPr="00B05B1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підтверджена та підлягає стягненню</w:t>
      </w:r>
    </w:p>
    <w:p w:rsidR="008539CF" w:rsidRDefault="008539CF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20725" w:rsidRPr="007D381D" w:rsidRDefault="00FF7ACF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05B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Науковий коментар.</w:t>
      </w:r>
      <w:r w:rsidRPr="0098405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220725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 рішення підтверджує сталість підхо</w:t>
      </w:r>
      <w:r w:rsid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</w:t>
      </w:r>
      <w:r w:rsidR="008539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судів щодо «зелених» тариф</w:t>
      </w:r>
      <w:r w:rsid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ів. </w:t>
      </w:r>
      <w:r w:rsidR="00220725" w:rsidRP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Постачальники універсальних послуг </w:t>
      </w:r>
      <w:r w:rsidR="00220725" w:rsidRPr="007D38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зобов’язані оплачувати електроенергію, вироблену приватними домогосподарствами</w:t>
      </w:r>
      <w:r w:rsidR="00220725" w:rsidRP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навіть якщо сам споживач не використовував енергію для власних потреб.</w:t>
      </w:r>
      <w:r w:rsid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20725" w:rsidRP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Аргумент про «нульове споживання» фактично був спробою уникнути виплат, але суди правильно наголосили: обов’язок сплачувати виникає з факту </w:t>
      </w:r>
      <w:r w:rsidR="00220725" w:rsidRPr="007D38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прийняття виробленої енергії</w:t>
      </w:r>
      <w:r w:rsidR="00220725" w:rsidRP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 не залежить від рівня споживання.</w:t>
      </w:r>
      <w:r w:rsid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20725" w:rsidRP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 рішення важливе для практики захисту прав побутових виробників електроенергії, які інвестували у сонячні панелі й очікують стабільних </w:t>
      </w:r>
      <w:r w:rsidR="00220725" w:rsidRP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розрахунків.</w:t>
      </w:r>
      <w:r w:rsid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20725" w:rsidRP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Суд підкреслив принцип </w:t>
      </w:r>
      <w:proofErr w:type="spellStart"/>
      <w:r w:rsidR="00220725" w:rsidRPr="007D38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pacta</w:t>
      </w:r>
      <w:proofErr w:type="spellEnd"/>
      <w:r w:rsidR="00220725" w:rsidRPr="007D38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220725" w:rsidRPr="007D38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sunt</w:t>
      </w:r>
      <w:proofErr w:type="spellEnd"/>
      <w:r w:rsidR="00220725" w:rsidRPr="007D38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220725" w:rsidRPr="007D38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servanda</w:t>
      </w:r>
      <w:proofErr w:type="spellEnd"/>
      <w:r w:rsidR="00220725" w:rsidRPr="007D381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пріоритет інтересів «зелених» виробників у сфері енергетики.</w:t>
      </w:r>
    </w:p>
    <w:p w:rsidR="00220725" w:rsidRPr="0098405C" w:rsidRDefault="00220725" w:rsidP="00D6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Висновок: постачальники універсальних послуг не можуть відмовляти у виплаті за виробле</w:t>
      </w:r>
      <w:r w:rsidR="00FF7ACF"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ну електроенергію, аргументуючи це виключно технічними нюансами</w:t>
      </w:r>
      <w:r w:rsidRPr="0098405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щодо споживання. Рішення сприяє стабільності та довірі до механізму «зеленого тарифу».</w:t>
      </w:r>
    </w:p>
    <w:p w:rsidR="00183ECF" w:rsidRPr="0098405C" w:rsidRDefault="00183ECF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3ECF" w:rsidRPr="0098405C" w:rsidRDefault="00183ECF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3ECF" w:rsidRPr="0098405C" w:rsidRDefault="00183ECF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1AE4" w:rsidRPr="0098405C" w:rsidRDefault="00A01AE4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4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67D1" w:rsidRPr="0098405C" w:rsidRDefault="00E967D1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5B15" w:rsidRDefault="00B05B15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CF" w:rsidRDefault="008539CF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CF" w:rsidRDefault="008539CF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CF" w:rsidRDefault="008539CF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2AC2" w:rsidRPr="008539CF" w:rsidRDefault="008539CF" w:rsidP="00D6449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39C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4. </w:t>
      </w:r>
      <w:r w:rsidR="00B05B15" w:rsidRPr="008539CF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останова </w:t>
      </w:r>
      <w:proofErr w:type="spellStart"/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>Північного</w:t>
      </w:r>
      <w:proofErr w:type="spellEnd"/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>апеляційного</w:t>
      </w:r>
      <w:proofErr w:type="spellEnd"/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>господарського</w:t>
      </w:r>
      <w:proofErr w:type="spellEnd"/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суду </w:t>
      </w:r>
      <w:proofErr w:type="spellStart"/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>від</w:t>
      </w:r>
      <w:proofErr w:type="spellEnd"/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01.05.2025 у </w:t>
      </w:r>
      <w:proofErr w:type="spellStart"/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>справі</w:t>
      </w:r>
      <w:proofErr w:type="spellEnd"/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6102F3" w:rsidRPr="00576BC5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910/12633/24. </w:t>
      </w:r>
      <w:r w:rsidR="00A52AC2" w:rsidRPr="008539CF">
        <w:rPr>
          <w:rFonts w:ascii="Times New Roman" w:hAnsi="Times New Roman" w:cs="Times New Roman"/>
          <w:b/>
          <w:sz w:val="24"/>
          <w:szCs w:val="24"/>
        </w:rPr>
        <w:t>URL</w:t>
      </w:r>
      <w:r w:rsidR="00A52AC2" w:rsidRPr="00576B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hyperlink r:id="rId8" w:history="1">
        <w:r w:rsidR="00A52AC2" w:rsidRPr="008539CF">
          <w:rPr>
            <w:rStyle w:val="a3"/>
            <w:rFonts w:ascii="Times New Roman" w:hAnsi="Times New Roman" w:cs="Times New Roman"/>
            <w:b/>
            <w:sz w:val="24"/>
            <w:szCs w:val="24"/>
            <w:lang w:val="uk-UA"/>
          </w:rPr>
          <w:t>https://reyestr.court.gov.ua/Review/127353933</w:t>
        </w:r>
      </w:hyperlink>
    </w:p>
    <w:p w:rsidR="00472288" w:rsidRPr="00576BC5" w:rsidRDefault="00472288" w:rsidP="00D6449B">
      <w:pPr>
        <w:spacing w:after="0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  <w:lang w:val="ru-RU"/>
        </w:rPr>
      </w:pPr>
    </w:p>
    <w:p w:rsidR="006102F3" w:rsidRPr="008539CF" w:rsidRDefault="006102F3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6BC5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Короткий </w:t>
      </w:r>
      <w:proofErr w:type="spellStart"/>
      <w:r w:rsidRPr="00576BC5">
        <w:rPr>
          <w:rStyle w:val="a4"/>
          <w:rFonts w:ascii="Times New Roman" w:hAnsi="Times New Roman" w:cs="Times New Roman"/>
          <w:sz w:val="24"/>
          <w:szCs w:val="24"/>
          <w:lang w:val="ru-RU"/>
        </w:rPr>
        <w:t>огляд</w:t>
      </w:r>
      <w:proofErr w:type="spellEnd"/>
      <w:r w:rsidRPr="00576BC5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 і результат</w:t>
      </w:r>
      <w:r w:rsidR="008539CF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102F3" w:rsidRPr="0098405C" w:rsidRDefault="006102F3" w:rsidP="00D6449B">
      <w:pPr>
        <w:pStyle w:val="a5"/>
        <w:spacing w:before="0" w:beforeAutospacing="0" w:after="0" w:afterAutospacing="0"/>
        <w:ind w:firstLine="709"/>
        <w:jc w:val="both"/>
        <w:rPr>
          <w:rStyle w:val="relative"/>
        </w:rPr>
      </w:pPr>
      <w:r w:rsidRPr="0098405C">
        <w:t>ТОВ «Зелена енергія Черкащини» звернулося з позовом до ДП «Гарантований покупець» про стягнення заборгованості за договором про надання послуг із забезпечення підтримки виробництва електроенергії за механізмом ринкової премії.</w:t>
      </w:r>
      <w:r w:rsidRPr="0098405C">
        <w:br/>
      </w:r>
      <w:r w:rsidRPr="0098405C">
        <w:rPr>
          <w:rStyle w:val="a4"/>
          <w:b w:val="0"/>
        </w:rPr>
        <w:t>Результат:</w:t>
      </w:r>
      <w:r w:rsidRPr="0098405C">
        <w:t xml:space="preserve"> апеляційний суд залишив рішення Господарського суду м. Києва від 30.01.2025 без змін, а апеляційну скаргу ДП «Гарантований покупець» – без задоволення. На користь позивача підтверджено стягнення </w:t>
      </w:r>
      <w:r w:rsidRPr="0098405C">
        <w:rPr>
          <w:rStyle w:val="a4"/>
          <w:b w:val="0"/>
        </w:rPr>
        <w:t>3,538 млн грн основного боргу</w:t>
      </w:r>
      <w:r w:rsidRPr="0098405C">
        <w:t>, 24,7 тис. грн 3% річних, 42,9 тис. грн інфляційних втрат</w:t>
      </w:r>
    </w:p>
    <w:p w:rsidR="006102F3" w:rsidRPr="00576BC5" w:rsidRDefault="006102F3" w:rsidP="00D6449B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6102F3" w:rsidRPr="00D40C91" w:rsidRDefault="006102F3" w:rsidP="00D40C91">
      <w:pPr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</w:rPr>
      </w:pPr>
      <w:r w:rsidRPr="00D40C91">
        <w:rPr>
          <w:rStyle w:val="a4"/>
          <w:rFonts w:ascii="Times New Roman" w:hAnsi="Times New Roman" w:cs="Times New Roman"/>
          <w:sz w:val="24"/>
          <w:szCs w:val="24"/>
        </w:rPr>
        <w:t>Суть позовних вимог</w:t>
      </w:r>
      <w:r w:rsidR="008539CF" w:rsidRPr="00D40C91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6102F3" w:rsidRPr="0098405C" w:rsidRDefault="006102F3" w:rsidP="00D6449B">
      <w:pPr>
        <w:pStyle w:val="a5"/>
        <w:spacing w:before="0" w:beforeAutospacing="0" w:after="0" w:afterAutospacing="0"/>
        <w:ind w:firstLine="709"/>
        <w:jc w:val="both"/>
      </w:pPr>
      <w:r w:rsidRPr="0098405C">
        <w:t xml:space="preserve">Стягнення </w:t>
      </w:r>
      <w:r w:rsidRPr="0098405C">
        <w:rPr>
          <w:rStyle w:val="a4"/>
          <w:b w:val="0"/>
        </w:rPr>
        <w:t>4 017 512,52 грн</w:t>
      </w:r>
      <w:r w:rsidRPr="0098405C">
        <w:t>, з яких:</w:t>
      </w:r>
      <w:r w:rsidR="00E22A23" w:rsidRPr="0098405C">
        <w:t xml:space="preserve"> </w:t>
      </w:r>
      <w:r w:rsidRPr="0098405C">
        <w:t>3 949 858,70 грн – основний борг;</w:t>
      </w:r>
      <w:r w:rsidR="00E22A23" w:rsidRPr="0098405C">
        <w:t xml:space="preserve"> </w:t>
      </w:r>
      <w:r w:rsidRPr="0098405C">
        <w:t>24 753,11 грн – 3% річних;</w:t>
      </w:r>
      <w:r w:rsidR="00E22A23" w:rsidRPr="0098405C">
        <w:t xml:space="preserve"> </w:t>
      </w:r>
      <w:r w:rsidRPr="0098405C">
        <w:t>42 900,71 грн – інфляційні втрати.</w:t>
      </w:r>
    </w:p>
    <w:p w:rsidR="00472288" w:rsidRDefault="006102F3" w:rsidP="00576BC5">
      <w:pPr>
        <w:pStyle w:val="a5"/>
        <w:spacing w:before="0" w:beforeAutospacing="0" w:after="0" w:afterAutospacing="0"/>
        <w:ind w:firstLine="709"/>
        <w:jc w:val="both"/>
      </w:pPr>
      <w:r w:rsidRPr="0098405C">
        <w:t>Підстава: відповідач неналежно виконав договір від 20.02.2024 №2027/07/24 про надання послуги за механізмом ринкової премії.</w:t>
      </w:r>
    </w:p>
    <w:p w:rsidR="00576BC5" w:rsidRDefault="00576BC5" w:rsidP="00576BC5">
      <w:pPr>
        <w:pStyle w:val="a5"/>
        <w:spacing w:before="0" w:beforeAutospacing="0" w:after="0" w:afterAutospacing="0"/>
        <w:ind w:firstLine="709"/>
        <w:jc w:val="both"/>
        <w:rPr>
          <w:rStyle w:val="a4"/>
          <w:b w:val="0"/>
          <w:bCs w:val="0"/>
        </w:rPr>
      </w:pPr>
    </w:p>
    <w:p w:rsidR="006102F3" w:rsidRPr="00D40C91" w:rsidRDefault="006102F3" w:rsidP="00D40C91">
      <w:pPr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</w:rPr>
      </w:pPr>
      <w:r w:rsidRPr="00D40C91">
        <w:rPr>
          <w:rStyle w:val="a4"/>
          <w:rFonts w:ascii="Times New Roman" w:hAnsi="Times New Roman" w:cs="Times New Roman"/>
          <w:sz w:val="24"/>
          <w:szCs w:val="24"/>
        </w:rPr>
        <w:t>Основні аргументи позивача</w:t>
      </w:r>
      <w:r w:rsidR="00472288" w:rsidRPr="00D40C91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E22A23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Відповідач прийняв послуги за актами приймання-передачі у лютому – серпні 2024 р. на суму 3,95 млн грн.</w:t>
      </w:r>
    </w:p>
    <w:p w:rsidR="00E22A23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Оплату у строки, передбачені договором і Порядком НКРЕКП, не здійснив.</w:t>
      </w:r>
    </w:p>
    <w:p w:rsidR="00E22A23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Форс-мажорні обставини не підтверджені належними доказами.</w:t>
      </w:r>
    </w:p>
    <w:p w:rsidR="006102F3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Вимоги про 3% річних та інфляційні втрати відповідають ст. 625 ЦК України.</w:t>
      </w:r>
    </w:p>
    <w:p w:rsidR="008539CF" w:rsidRPr="00576BC5" w:rsidRDefault="008539CF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39CF" w:rsidRPr="008539CF" w:rsidRDefault="006102F3" w:rsidP="00D6449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8539CF">
        <w:rPr>
          <w:rStyle w:val="a4"/>
          <w:rFonts w:ascii="Times New Roman" w:hAnsi="Times New Roman" w:cs="Times New Roman"/>
          <w:sz w:val="24"/>
          <w:szCs w:val="24"/>
        </w:rPr>
        <w:t>Заперечення</w:t>
      </w:r>
      <w:proofErr w:type="spellEnd"/>
      <w:r w:rsidRPr="008539C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9CF">
        <w:rPr>
          <w:rStyle w:val="a4"/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="008539CF" w:rsidRPr="008539CF">
        <w:rPr>
          <w:rStyle w:val="a4"/>
          <w:rFonts w:ascii="Times New Roman" w:hAnsi="Times New Roman" w:cs="Times New Roman"/>
          <w:sz w:val="24"/>
          <w:szCs w:val="24"/>
          <w:lang w:val="uk-UA"/>
        </w:rPr>
        <w:t>:</w:t>
      </w:r>
    </w:p>
    <w:p w:rsidR="00E22A23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rPr>
          <w:rStyle w:val="a4"/>
          <w:b w:val="0"/>
        </w:rPr>
        <w:t>Не настав строк виконання зобов’язань</w:t>
      </w:r>
      <w:r w:rsidRPr="0098405C">
        <w:t>, бо НКРЕКП не затвердило своєчасно розмір варто</w:t>
      </w:r>
      <w:bookmarkStart w:id="0" w:name="_GoBack"/>
      <w:bookmarkEnd w:id="0"/>
      <w:r w:rsidRPr="0098405C">
        <w:t>сті послуги.</w:t>
      </w:r>
    </w:p>
    <w:p w:rsidR="00E22A23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Позовні вимоги є передчасними.</w:t>
      </w:r>
    </w:p>
    <w:p w:rsidR="00E22A23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Просив зменшити розмір 3% річних та інфляційних втрат, посилаючись на воєнний стан і фінансові труднощі.</w:t>
      </w:r>
    </w:p>
    <w:p w:rsidR="006102F3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Посилався на форс-мажор (лист ТПП України від 28.02.2022).</w:t>
      </w:r>
    </w:p>
    <w:p w:rsidR="006102F3" w:rsidRPr="0098405C" w:rsidRDefault="006102F3" w:rsidP="00D644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02F3" w:rsidRPr="00D40C91" w:rsidRDefault="006102F3" w:rsidP="00D40C91">
      <w:pPr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</w:rPr>
      </w:pPr>
      <w:r w:rsidRPr="00D40C91">
        <w:rPr>
          <w:rStyle w:val="a4"/>
          <w:rFonts w:ascii="Times New Roman" w:hAnsi="Times New Roman" w:cs="Times New Roman"/>
          <w:sz w:val="24"/>
          <w:szCs w:val="24"/>
        </w:rPr>
        <w:t>Рішення суду та аргументація</w:t>
      </w:r>
      <w:r w:rsidR="00E22A23" w:rsidRPr="00D40C91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6102F3" w:rsidRPr="0098405C" w:rsidRDefault="006102F3" w:rsidP="00D6449B">
      <w:pPr>
        <w:pStyle w:val="a5"/>
        <w:spacing w:before="0" w:beforeAutospacing="0" w:after="0" w:afterAutospacing="0"/>
        <w:ind w:firstLine="709"/>
        <w:jc w:val="both"/>
      </w:pPr>
      <w:r w:rsidRPr="0098405C">
        <w:rPr>
          <w:rStyle w:val="a4"/>
          <w:b w:val="0"/>
        </w:rPr>
        <w:t>Суд першої інстанції:</w:t>
      </w:r>
      <w:r w:rsidRPr="0098405C">
        <w:t xml:space="preserve"> задовольнив позов частково – стягнув 3,538 млн грн основного боргу (без частини, яку сплачено добровільно), а також 3% річних та інфляційні втрати.</w:t>
      </w:r>
    </w:p>
    <w:p w:rsidR="0098405C" w:rsidRPr="0098405C" w:rsidRDefault="006102F3" w:rsidP="00D6449B">
      <w:pPr>
        <w:pStyle w:val="a5"/>
        <w:spacing w:before="0" w:beforeAutospacing="0" w:after="0" w:afterAutospacing="0"/>
        <w:ind w:firstLine="709"/>
        <w:jc w:val="both"/>
      </w:pPr>
      <w:r w:rsidRPr="0098405C">
        <w:rPr>
          <w:rStyle w:val="a4"/>
          <w:b w:val="0"/>
        </w:rPr>
        <w:t>Апеляційний суд:</w:t>
      </w:r>
    </w:p>
    <w:p w:rsidR="0098405C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Встановив, що строк виконання зобов’язань настав, оскільки Порядок чітко визначає крайній термін – не пізніше 25-го числа місяця, наступного за розрахунковим.</w:t>
      </w:r>
    </w:p>
    <w:p w:rsidR="0098405C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 xml:space="preserve">Відсутність своєчасного затвердження НКРЕКП розміру вартості послуги </w:t>
      </w:r>
      <w:r w:rsidRPr="0098405C">
        <w:rPr>
          <w:rStyle w:val="a4"/>
          <w:b w:val="0"/>
        </w:rPr>
        <w:t>не звільняє від обов’язку оплатити</w:t>
      </w:r>
      <w:r w:rsidRPr="0098405C">
        <w:t>.</w:t>
      </w:r>
    </w:p>
    <w:p w:rsidR="0098405C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Доказів зміни розміру вартості послуги або належного повідомлення про форс-мажор відповідач не надав.</w:t>
      </w:r>
    </w:p>
    <w:p w:rsidR="0098405C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3% річних та інфляційні втрати є компенсаційними, а не штрафними санкціями, тому підлягають стягненню.</w:t>
      </w:r>
    </w:p>
    <w:p w:rsidR="006102F3" w:rsidRPr="0098405C" w:rsidRDefault="006102F3" w:rsidP="00D6449B">
      <w:pPr>
        <w:pStyle w:val="a5"/>
        <w:numPr>
          <w:ilvl w:val="0"/>
          <w:numId w:val="20"/>
        </w:numPr>
        <w:spacing w:before="0" w:beforeAutospacing="0" w:after="0" w:afterAutospacing="0"/>
        <w:ind w:firstLine="709"/>
        <w:jc w:val="both"/>
      </w:pPr>
      <w:r w:rsidRPr="0098405C">
        <w:t>Апеляційну скаргу залишено без задоволення, рішення першої інстанції – без змін</w:t>
      </w:r>
    </w:p>
    <w:p w:rsidR="00472288" w:rsidRDefault="00472288" w:rsidP="00D6449B">
      <w:pPr>
        <w:pStyle w:val="a5"/>
        <w:spacing w:before="0" w:beforeAutospacing="0" w:after="0" w:afterAutospacing="0"/>
        <w:ind w:firstLine="709"/>
        <w:jc w:val="both"/>
      </w:pPr>
    </w:p>
    <w:p w:rsidR="00472288" w:rsidRPr="00472288" w:rsidRDefault="00472288" w:rsidP="00D6449B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472288">
        <w:rPr>
          <w:b/>
        </w:rPr>
        <w:t>Науковий коментар:</w:t>
      </w:r>
    </w:p>
    <w:p w:rsidR="006102F3" w:rsidRPr="0098405C" w:rsidRDefault="006102F3" w:rsidP="00D6449B">
      <w:pPr>
        <w:pStyle w:val="a5"/>
        <w:spacing w:before="0" w:beforeAutospacing="0" w:after="0" w:afterAutospacing="0"/>
        <w:ind w:firstLine="709"/>
        <w:jc w:val="both"/>
      </w:pPr>
      <w:r w:rsidRPr="0098405C">
        <w:lastRenderedPageBreak/>
        <w:t>Це рішення демонструє системність у судовій практиці щодо сп</w:t>
      </w:r>
      <w:r w:rsidR="0098405C" w:rsidRPr="0098405C">
        <w:t xml:space="preserve">орів із «Гарантованим покупцем». </w:t>
      </w:r>
      <w:r w:rsidRPr="0098405C">
        <w:t xml:space="preserve">Суд підтвердив, що </w:t>
      </w:r>
      <w:r w:rsidRPr="0098405C">
        <w:rPr>
          <w:rStyle w:val="a4"/>
          <w:b w:val="0"/>
        </w:rPr>
        <w:t>затримки регулятора (НКРЕКП) не звільняють від зобов’язань перед виробниками</w:t>
      </w:r>
      <w:r w:rsidR="0098405C" w:rsidRPr="0098405C">
        <w:t xml:space="preserve">. </w:t>
      </w:r>
      <w:r w:rsidRPr="0098405C">
        <w:t>Аргументи про форс-мажор не були підтверджені належним сертифікатом ТПП та належним повідомленням сторони.</w:t>
      </w:r>
      <w:r w:rsidR="0098405C" w:rsidRPr="0098405C">
        <w:t xml:space="preserve">. </w:t>
      </w:r>
      <w:r w:rsidRPr="0098405C">
        <w:t xml:space="preserve">Важливе значення має позиція суду про </w:t>
      </w:r>
      <w:r w:rsidRPr="0098405C">
        <w:rPr>
          <w:rStyle w:val="a4"/>
          <w:b w:val="0"/>
        </w:rPr>
        <w:t>компенсаційний характер 3% річних та інфляційних втрат</w:t>
      </w:r>
      <w:r w:rsidRPr="0098405C">
        <w:t>, які не є штрафними санкціями і підлягають стягненню навіть у воєнний час.</w:t>
      </w:r>
      <w:r w:rsidR="0098405C" w:rsidRPr="0098405C">
        <w:t xml:space="preserve"> </w:t>
      </w:r>
      <w:r w:rsidRPr="0098405C">
        <w:t>Рішення посилює правову визначеність для інвесторів у відновлювану енергетику та підтверджує, що держава через «Гарантованого покупця» несе реальну відповідальність за виконання фінансових зобов’язань.</w:t>
      </w:r>
    </w:p>
    <w:p w:rsidR="006102F3" w:rsidRPr="0098405C" w:rsidRDefault="006102F3" w:rsidP="00D6449B">
      <w:pPr>
        <w:pStyle w:val="a5"/>
        <w:spacing w:before="0" w:beforeAutospacing="0" w:after="0" w:afterAutospacing="0"/>
        <w:ind w:firstLine="709"/>
        <w:jc w:val="both"/>
      </w:pPr>
      <w:r w:rsidRPr="0098405C">
        <w:t>Висновок: суди стали на захист виробників «зеленої» енергії, закріпивши практику о</w:t>
      </w:r>
      <w:r w:rsidR="0098405C" w:rsidRPr="0098405C">
        <w:t xml:space="preserve">бов’язковості своєчасних виплат. </w:t>
      </w:r>
    </w:p>
    <w:p w:rsidR="00375E0E" w:rsidRDefault="00375E0E" w:rsidP="00D644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5E0E" w:rsidRPr="00183ECF" w:rsidRDefault="00375E0E" w:rsidP="00D644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75E0E" w:rsidRPr="00183ECF" w:rsidSect="00A01AE4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0F84"/>
    <w:multiLevelType w:val="multilevel"/>
    <w:tmpl w:val="C054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31530"/>
    <w:multiLevelType w:val="hybridMultilevel"/>
    <w:tmpl w:val="3C6424CA"/>
    <w:lvl w:ilvl="0" w:tplc="8BE084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4C53B56"/>
    <w:multiLevelType w:val="multilevel"/>
    <w:tmpl w:val="208E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F779C"/>
    <w:multiLevelType w:val="multilevel"/>
    <w:tmpl w:val="CC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B661D"/>
    <w:multiLevelType w:val="multilevel"/>
    <w:tmpl w:val="7272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960F4"/>
    <w:multiLevelType w:val="multilevel"/>
    <w:tmpl w:val="8E66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F4402"/>
    <w:multiLevelType w:val="multilevel"/>
    <w:tmpl w:val="632A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61993"/>
    <w:multiLevelType w:val="hybridMultilevel"/>
    <w:tmpl w:val="094CE42A"/>
    <w:lvl w:ilvl="0" w:tplc="BCCEC8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B7B55EC"/>
    <w:multiLevelType w:val="multilevel"/>
    <w:tmpl w:val="1DEC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69338E"/>
    <w:multiLevelType w:val="multilevel"/>
    <w:tmpl w:val="1E96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B78B6"/>
    <w:multiLevelType w:val="multilevel"/>
    <w:tmpl w:val="7ACA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C52C6"/>
    <w:multiLevelType w:val="multilevel"/>
    <w:tmpl w:val="7956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565CB"/>
    <w:multiLevelType w:val="multilevel"/>
    <w:tmpl w:val="C57E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CC1143"/>
    <w:multiLevelType w:val="multilevel"/>
    <w:tmpl w:val="C60C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646BC"/>
    <w:multiLevelType w:val="multilevel"/>
    <w:tmpl w:val="C532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076FA"/>
    <w:multiLevelType w:val="multilevel"/>
    <w:tmpl w:val="62FA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30DA0"/>
    <w:multiLevelType w:val="multilevel"/>
    <w:tmpl w:val="D308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F0807"/>
    <w:multiLevelType w:val="multilevel"/>
    <w:tmpl w:val="4C8C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444C6"/>
    <w:multiLevelType w:val="multilevel"/>
    <w:tmpl w:val="2F08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A4BB9"/>
    <w:multiLevelType w:val="hybridMultilevel"/>
    <w:tmpl w:val="63CAC404"/>
    <w:lvl w:ilvl="0" w:tplc="AC666C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862FA"/>
    <w:multiLevelType w:val="multilevel"/>
    <w:tmpl w:val="CE14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4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0"/>
  </w:num>
  <w:num w:numId="10">
    <w:abstractNumId w:val="11"/>
  </w:num>
  <w:num w:numId="11">
    <w:abstractNumId w:val="20"/>
  </w:num>
  <w:num w:numId="12">
    <w:abstractNumId w:val="18"/>
  </w:num>
  <w:num w:numId="13">
    <w:abstractNumId w:val="5"/>
  </w:num>
  <w:num w:numId="14">
    <w:abstractNumId w:val="9"/>
  </w:num>
  <w:num w:numId="15">
    <w:abstractNumId w:val="2"/>
  </w:num>
  <w:num w:numId="16">
    <w:abstractNumId w:val="12"/>
  </w:num>
  <w:num w:numId="17">
    <w:abstractNumId w:val="16"/>
  </w:num>
  <w:num w:numId="18">
    <w:abstractNumId w:val="15"/>
  </w:num>
  <w:num w:numId="19">
    <w:abstractNumId w:val="7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A9"/>
    <w:rsid w:val="00081D14"/>
    <w:rsid w:val="00095EA6"/>
    <w:rsid w:val="000D3D05"/>
    <w:rsid w:val="00112DA9"/>
    <w:rsid w:val="0011676D"/>
    <w:rsid w:val="00126F61"/>
    <w:rsid w:val="00183ECF"/>
    <w:rsid w:val="00216D6A"/>
    <w:rsid w:val="00220725"/>
    <w:rsid w:val="00375E0E"/>
    <w:rsid w:val="003D3847"/>
    <w:rsid w:val="00472288"/>
    <w:rsid w:val="004B4203"/>
    <w:rsid w:val="00544540"/>
    <w:rsid w:val="00576BC5"/>
    <w:rsid w:val="006102F3"/>
    <w:rsid w:val="00630C1E"/>
    <w:rsid w:val="00693479"/>
    <w:rsid w:val="007D381D"/>
    <w:rsid w:val="008539CF"/>
    <w:rsid w:val="00881A54"/>
    <w:rsid w:val="00950B72"/>
    <w:rsid w:val="0098405C"/>
    <w:rsid w:val="009855AE"/>
    <w:rsid w:val="009F6FC8"/>
    <w:rsid w:val="00A01AE4"/>
    <w:rsid w:val="00A52AC2"/>
    <w:rsid w:val="00A60963"/>
    <w:rsid w:val="00AF4C75"/>
    <w:rsid w:val="00B02ECF"/>
    <w:rsid w:val="00B05B15"/>
    <w:rsid w:val="00B244EE"/>
    <w:rsid w:val="00B765C1"/>
    <w:rsid w:val="00D273E0"/>
    <w:rsid w:val="00D326A1"/>
    <w:rsid w:val="00D40C91"/>
    <w:rsid w:val="00D6449B"/>
    <w:rsid w:val="00DB7F21"/>
    <w:rsid w:val="00E22A23"/>
    <w:rsid w:val="00E967D1"/>
    <w:rsid w:val="00ED2960"/>
    <w:rsid w:val="00EE4F5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91B5"/>
  <w15:chartTrackingRefBased/>
  <w15:docId w15:val="{17884D36-CB9A-4B2C-BB65-DAA4256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F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AE4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693479"/>
    <w:rPr>
      <w:b/>
      <w:bCs/>
    </w:rPr>
  </w:style>
  <w:style w:type="character" w:customStyle="1" w:styleId="relative">
    <w:name w:val="relative"/>
    <w:basedOn w:val="a0"/>
    <w:rsid w:val="00693479"/>
  </w:style>
  <w:style w:type="paragraph" w:styleId="a5">
    <w:name w:val="Normal (Web)"/>
    <w:basedOn w:val="a"/>
    <w:uiPriority w:val="99"/>
    <w:unhideWhenUsed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t-prose">
    <w:name w:val="not-prose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126F61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List Paragraph"/>
    <w:basedOn w:val="a"/>
    <w:uiPriority w:val="34"/>
    <w:qFormat/>
    <w:rsid w:val="00B24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yestr.court.gov.ua/Review/127353933" TargetMode="External"/><Relationship Id="rId3" Type="http://schemas.openxmlformats.org/officeDocument/2006/relationships/styles" Target="styles.xml"/><Relationship Id="rId7" Type="http://schemas.openxmlformats.org/officeDocument/2006/relationships/hyperlink" Target="https://reyestr.court.gov.ua/Review/1242440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yestr.court.gov.ua/Review/1198962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F4E82-7770-43C6-81B3-AAD96192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8111</Words>
  <Characters>4624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Ангеліна</cp:lastModifiedBy>
  <cp:revision>16</cp:revision>
  <dcterms:created xsi:type="dcterms:W3CDTF">2025-09-10T10:02:00Z</dcterms:created>
  <dcterms:modified xsi:type="dcterms:W3CDTF">2025-09-17T21:26:00Z</dcterms:modified>
</cp:coreProperties>
</file>